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5F" w:rsidRDefault="007F085F" w:rsidP="008D432B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</w:p>
    <w:p w:rsidR="008D432B" w:rsidRPr="007F085F" w:rsidRDefault="008D432B" w:rsidP="007F085F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7F085F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7F085F" w:rsidRDefault="008D432B" w:rsidP="007F085F">
      <w:pPr>
        <w:jc w:val="center"/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</w:pPr>
      <w:r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 xml:space="preserve">กิจกรรมที่ </w:t>
      </w:r>
      <w:r w:rsidRPr="007F085F">
        <w:rPr>
          <w:rFonts w:cs="TH SarabunPSK"/>
          <w:b/>
          <w:color w:val="385623" w:themeColor="accent6" w:themeShade="80"/>
          <w:sz w:val="32"/>
          <w:szCs w:val="32"/>
          <w:lang w:val="de-DE" w:bidi="th-TH"/>
        </w:rPr>
        <w:t>2:</w:t>
      </w:r>
      <w:r w:rsidRPr="007F085F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t xml:space="preserve"> </w:t>
      </w:r>
      <w:r w:rsidR="006E5DD7" w:rsidRPr="007F085F">
        <w:rPr>
          <w:rFonts w:cs="TH SarabunPSK"/>
          <w:bCs/>
          <w:color w:val="385623" w:themeColor="accent6" w:themeShade="80"/>
          <w:sz w:val="32"/>
          <w:szCs w:val="32"/>
          <w:cs/>
          <w:lang w:val="en-US" w:bidi="th-TH"/>
        </w:rPr>
        <w:t>ให้เลือกถูก หรือผิดสำหรับ</w:t>
      </w:r>
      <w:r w:rsidR="006E5DD7"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 xml:space="preserve">กฎหมายควบคุมการค้าไม้ของสหภาพยุโรป </w:t>
      </w:r>
      <w:r w:rsidR="007F085F">
        <w:rPr>
          <w:rFonts w:cs="TH SarabunPSK"/>
          <w:bCs/>
          <w:color w:val="385623" w:themeColor="accent6" w:themeShade="80"/>
          <w:sz w:val="32"/>
          <w:szCs w:val="32"/>
          <w:lang w:val="de-DE" w:bidi="th-TH"/>
        </w:rPr>
        <w:br/>
      </w:r>
      <w:r w:rsidR="006E5DD7"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(</w:t>
      </w:r>
      <w:r w:rsidR="006E5DD7"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EU </w:t>
      </w:r>
      <w:proofErr w:type="spellStart"/>
      <w:r w:rsidR="006E5DD7"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>Timber</w:t>
      </w:r>
      <w:proofErr w:type="spellEnd"/>
      <w:r w:rsidR="006E5DD7" w:rsidRPr="007F085F">
        <w:rPr>
          <w:rFonts w:cs="TH SarabunPSK"/>
          <w:b/>
          <w:color w:val="385623" w:themeColor="accent6" w:themeShade="80"/>
          <w:sz w:val="32"/>
          <w:szCs w:val="32"/>
          <w:lang w:val="de-DE"/>
        </w:rPr>
        <w:t xml:space="preserve"> Regulation</w:t>
      </w:r>
      <w:r w:rsidR="006E5DD7" w:rsidRPr="007F085F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6E5DD7" w:rsidRPr="007F085F" w:rsidRDefault="006E5DD7" w:rsidP="007F085F">
      <w:pPr>
        <w:rPr>
          <w:rFonts w:cs="TH SarabunPSK"/>
          <w:bCs/>
          <w:cs/>
          <w:lang w:val="de-DE" w:bidi="th-TH"/>
        </w:rPr>
      </w:pPr>
      <w:r w:rsidRPr="007F085F">
        <w:rPr>
          <w:rFonts w:cs="TH SarabunPSK"/>
          <w:b/>
          <w:cs/>
          <w:lang w:val="en-US" w:bidi="th-TH"/>
        </w:rPr>
        <w:t>แบบฝึกหัดนี้มีวัตถุประสงค์เพื่อตรวจสอบความเข้าใจของผู้เข้าร่วม เกี่ยวกับ</w:t>
      </w:r>
      <w:r w:rsidRPr="007F085F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7F085F">
        <w:rPr>
          <w:rFonts w:cs="TH SarabunPSK"/>
          <w:lang w:val="de-DE"/>
        </w:rPr>
        <w:t xml:space="preserve">EU </w:t>
      </w:r>
      <w:proofErr w:type="spellStart"/>
      <w:r w:rsidRPr="007F085F">
        <w:rPr>
          <w:rFonts w:cs="TH SarabunPSK"/>
          <w:lang w:val="de-DE"/>
        </w:rPr>
        <w:t>Timber</w:t>
      </w:r>
      <w:proofErr w:type="spellEnd"/>
      <w:r w:rsidRPr="007F085F">
        <w:rPr>
          <w:rFonts w:cs="TH SarabunPSK"/>
          <w:lang w:val="de-DE"/>
        </w:rPr>
        <w:t xml:space="preserve"> Regulation</w:t>
      </w:r>
      <w:r w:rsidRPr="007F085F">
        <w:rPr>
          <w:rFonts w:cs="TH SarabunPSK"/>
          <w:cs/>
          <w:lang w:bidi="th-TH"/>
        </w:rPr>
        <w:t>)</w:t>
      </w:r>
      <w:r w:rsidRPr="007F085F">
        <w:rPr>
          <w:rFonts w:cs="TH SarabunPSK"/>
          <w:b/>
          <w:cs/>
          <w:lang w:val="en-US" w:bidi="th-TH"/>
        </w:rPr>
        <w:t xml:space="preserve"> </w:t>
      </w:r>
      <w:r w:rsidR="000223C5" w:rsidRPr="007F085F">
        <w:rPr>
          <w:rFonts w:cs="TH SarabunPSK"/>
          <w:b/>
          <w:cs/>
          <w:lang w:val="en-US" w:bidi="th-TH"/>
        </w:rPr>
        <w:t>กรุณาเลือกตอบถูก (</w:t>
      </w:r>
      <w:r w:rsidR="000223C5" w:rsidRPr="007F085F">
        <w:rPr>
          <w:rFonts w:cs="TH SarabunPSK"/>
          <w:bCs/>
          <w:lang w:val="de-DE" w:bidi="th-TH"/>
        </w:rPr>
        <w:t xml:space="preserve">True: T) </w:t>
      </w:r>
      <w:r w:rsidR="000223C5" w:rsidRPr="007F085F">
        <w:rPr>
          <w:rFonts w:cs="TH SarabunPSK"/>
          <w:b/>
          <w:cs/>
          <w:lang w:val="en-US" w:bidi="th-TH"/>
        </w:rPr>
        <w:t>หรือผิด (</w:t>
      </w:r>
      <w:proofErr w:type="spellStart"/>
      <w:r w:rsidR="000223C5" w:rsidRPr="007F085F">
        <w:rPr>
          <w:rFonts w:cs="TH SarabunPSK"/>
          <w:bCs/>
          <w:lang w:val="de-DE" w:bidi="th-TH"/>
        </w:rPr>
        <w:t>False</w:t>
      </w:r>
      <w:proofErr w:type="spellEnd"/>
      <w:r w:rsidR="000223C5" w:rsidRPr="007F085F">
        <w:rPr>
          <w:rFonts w:cs="TH SarabunPSK"/>
          <w:bCs/>
          <w:lang w:val="de-DE" w:bidi="th-TH"/>
        </w:rPr>
        <w:t xml:space="preserve">: F) </w:t>
      </w:r>
      <w:r w:rsidR="000223C5" w:rsidRPr="007F085F">
        <w:rPr>
          <w:rFonts w:cs="TH SarabunPSK"/>
          <w:b/>
          <w:cs/>
          <w:lang w:val="en-US" w:bidi="th-TH"/>
        </w:rPr>
        <w:t>และแสดงคำตอบที่ถูกต้องในคอลัมภ์คำอธิบาย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374"/>
        <w:gridCol w:w="6964"/>
        <w:gridCol w:w="850"/>
        <w:gridCol w:w="1054"/>
      </w:tblGrid>
      <w:tr w:rsidR="00496F75" w:rsidRPr="007F085F" w:rsidTr="007F085F">
        <w:trPr>
          <w:tblHeader/>
        </w:trPr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  <w:b/>
                <w:lang w:val="de-DE"/>
              </w:rPr>
            </w:pPr>
          </w:p>
        </w:tc>
        <w:tc>
          <w:tcPr>
            <w:tcW w:w="6964" w:type="dxa"/>
          </w:tcPr>
          <w:p w:rsidR="00496F75" w:rsidRPr="007F085F" w:rsidRDefault="000223C5" w:rsidP="007F085F">
            <w:pPr>
              <w:rPr>
                <w:rFonts w:cs="TH SarabunPSK"/>
                <w:b/>
                <w:lang w:bidi="th-TH"/>
              </w:rPr>
            </w:pPr>
            <w:r w:rsidRPr="007F085F">
              <w:rPr>
                <w:rFonts w:cs="TH SarabunPSK"/>
                <w:b/>
                <w:cs/>
                <w:lang w:bidi="th-TH"/>
              </w:rPr>
              <w:t>คำถาม</w:t>
            </w:r>
          </w:p>
        </w:tc>
        <w:tc>
          <w:tcPr>
            <w:tcW w:w="850" w:type="dxa"/>
          </w:tcPr>
          <w:p w:rsidR="00496F75" w:rsidRPr="007F085F" w:rsidRDefault="000223C5" w:rsidP="007F085F">
            <w:pPr>
              <w:rPr>
                <w:rFonts w:cs="TH SarabunPSK"/>
                <w:b/>
                <w:lang w:bidi="th-TH"/>
              </w:rPr>
            </w:pPr>
            <w:r w:rsidRPr="007F085F">
              <w:rPr>
                <w:rFonts w:cs="TH SarabunPSK"/>
                <w:b/>
                <w:cs/>
                <w:lang w:bidi="th-TH"/>
              </w:rPr>
              <w:t>คำตอบ</w:t>
            </w:r>
          </w:p>
        </w:tc>
        <w:tc>
          <w:tcPr>
            <w:tcW w:w="1054" w:type="dxa"/>
          </w:tcPr>
          <w:p w:rsidR="00496F75" w:rsidRPr="007F085F" w:rsidRDefault="000223C5" w:rsidP="007F085F">
            <w:pPr>
              <w:rPr>
                <w:rFonts w:cs="TH SarabunPSK"/>
                <w:b/>
                <w:lang w:bidi="th-TH"/>
              </w:rPr>
            </w:pPr>
            <w:r w:rsidRPr="007F085F">
              <w:rPr>
                <w:rFonts w:cs="TH SarabunPSK"/>
                <w:b/>
                <w:cs/>
                <w:lang w:bidi="th-TH"/>
              </w:rPr>
              <w:t>คำอธิบาย</w:t>
            </w: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1</w:t>
            </w:r>
          </w:p>
        </w:tc>
        <w:tc>
          <w:tcPr>
            <w:tcW w:w="6964" w:type="dxa"/>
          </w:tcPr>
          <w:p w:rsidR="00496F75" w:rsidRPr="007F085F" w:rsidRDefault="000223C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7F085F">
              <w:rPr>
                <w:rFonts w:cs="TH SarabunPSK"/>
                <w:color w:val="385623" w:themeColor="accent6" w:themeShade="80"/>
              </w:rPr>
              <w:t>EU T</w:t>
            </w:r>
            <w:r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 มีผลผูกพันและนำมาใช้กับผู้นำเข้าไม้เท่านั้น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2</w:t>
            </w:r>
          </w:p>
        </w:tc>
        <w:tc>
          <w:tcPr>
            <w:tcW w:w="6964" w:type="dxa"/>
          </w:tcPr>
          <w:p w:rsidR="00496F75" w:rsidRPr="007F085F" w:rsidRDefault="00C35073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ตลาดของสหภาพยุโรปจะปิดไม่รับไม้มีการตัด หรือปลูกอย่างผิดกฎหมาย (</w:t>
            </w:r>
            <w:r w:rsidRPr="007F085F">
              <w:rPr>
                <w:rFonts w:cs="TH SarabunPSK"/>
                <w:lang w:val="en-US" w:bidi="th-TH"/>
              </w:rPr>
              <w:t>Il</w:t>
            </w:r>
            <w:r w:rsidRPr="007F085F">
              <w:rPr>
                <w:rFonts w:cs="TH SarabunPSK"/>
              </w:rPr>
              <w:t>legally H</w:t>
            </w:r>
            <w:r w:rsidR="00496F75" w:rsidRPr="007F085F">
              <w:rPr>
                <w:rFonts w:cs="TH SarabunPSK"/>
              </w:rPr>
              <w:t xml:space="preserve">arvested </w:t>
            </w:r>
            <w:r w:rsidRPr="007F085F">
              <w:rPr>
                <w:rFonts w:cs="TH SarabunPSK"/>
              </w:rPr>
              <w:t>T</w:t>
            </w:r>
            <w:r w:rsidR="00496F75" w:rsidRPr="007F085F">
              <w:rPr>
                <w:rFonts w:cs="TH SarabunPSK"/>
              </w:rPr>
              <w:t>imber</w:t>
            </w:r>
            <w:r w:rsidRPr="007F085F">
              <w:rPr>
                <w:rFonts w:cs="TH SarabunPSK"/>
              </w:rPr>
              <w:t>)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3</w:t>
            </w:r>
          </w:p>
        </w:tc>
        <w:tc>
          <w:tcPr>
            <w:tcW w:w="6964" w:type="dxa"/>
          </w:tcPr>
          <w:p w:rsidR="00496F75" w:rsidRPr="007F085F" w:rsidRDefault="00C35073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7F085F">
              <w:rPr>
                <w:rFonts w:cs="TH SarabunPSK"/>
                <w:color w:val="385623" w:themeColor="accent6" w:themeShade="80"/>
              </w:rPr>
              <w:t>EU T</w:t>
            </w:r>
            <w:r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 มีผล</w:t>
            </w:r>
            <w:r w:rsidRPr="007F085F">
              <w:rPr>
                <w:rFonts w:cs="TH SarabunPSK"/>
                <w:cs/>
                <w:lang w:bidi="th-TH"/>
              </w:rPr>
              <w:t xml:space="preserve">บังคับใช้ในวันที่ </w:t>
            </w:r>
            <w:r w:rsidR="00496F75" w:rsidRPr="007F085F">
              <w:rPr>
                <w:rFonts w:cs="TH SarabunPSK"/>
              </w:rPr>
              <w:t xml:space="preserve">3 </w:t>
            </w:r>
            <w:r w:rsidRPr="007F085F">
              <w:rPr>
                <w:rFonts w:cs="TH SarabunPSK"/>
                <w:cs/>
                <w:lang w:bidi="th-TH"/>
              </w:rPr>
              <w:t>มีนาคม</w:t>
            </w:r>
            <w:r w:rsidR="00496F75" w:rsidRPr="007F085F">
              <w:rPr>
                <w:rFonts w:cs="TH SarabunPSK"/>
              </w:rPr>
              <w:t xml:space="preserve"> 2</w:t>
            </w:r>
            <w:r w:rsidRPr="007F085F">
              <w:rPr>
                <w:rFonts w:cs="TH SarabunPSK"/>
              </w:rPr>
              <w:t>556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4</w:t>
            </w:r>
          </w:p>
        </w:tc>
        <w:tc>
          <w:tcPr>
            <w:tcW w:w="6964" w:type="dxa"/>
          </w:tcPr>
          <w:p w:rsidR="00496F75" w:rsidRPr="007F085F" w:rsidRDefault="00C35073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ทั้งผู้ค้า และผู้ปฏิบัติงานจำเป็นต้องดำเนินระบบสอบทานธุรกิจ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5</w:t>
            </w:r>
          </w:p>
        </w:tc>
        <w:tc>
          <w:tcPr>
            <w:tcW w:w="6964" w:type="dxa"/>
          </w:tcPr>
          <w:p w:rsidR="00496F75" w:rsidRPr="007F085F" w:rsidRDefault="008E61CD" w:rsidP="007F085F">
            <w:pPr>
              <w:spacing w:line="276" w:lineRule="auto"/>
              <w:rPr>
                <w:rFonts w:cs="TH SarabunPSK"/>
              </w:rPr>
            </w:pPr>
            <w:r w:rsidRPr="007F085F">
              <w:rPr>
                <w:rFonts w:cs="TH SarabunPSK"/>
                <w:b/>
                <w:cs/>
                <w:lang w:bidi="th-TH"/>
              </w:rPr>
              <w:t>ผลิตภัณฑ์ที่ได้รับอนุญาตตามการบังคับใช้กฎหมายป่าไม้ ธรรมาภิบาล และการค้า (</w:t>
            </w:r>
            <w:r w:rsidRPr="007F085F">
              <w:rPr>
                <w:rFonts w:cs="TH SarabunPSK"/>
                <w:bCs/>
                <w:lang w:val="en-US" w:bidi="th-TH"/>
              </w:rPr>
              <w:t>FLEGT</w:t>
            </w:r>
            <w:r w:rsidRPr="007F085F">
              <w:rPr>
                <w:rFonts w:cs="TH SarabunPSK"/>
                <w:cs/>
                <w:lang w:bidi="th-TH"/>
              </w:rPr>
              <w:t>) และผลิตภัณฑ์ใน</w:t>
            </w:r>
            <w:r w:rsidRPr="007F085F">
              <w:rPr>
                <w:rStyle w:val="Hervorhebung"/>
                <w:rFonts w:cs="TH SarabunPSK"/>
                <w:i w:val="0"/>
                <w:iCs w:val="0"/>
                <w:shd w:val="clear" w:color="auto" w:fill="FFFFFF"/>
                <w:cs/>
                <w:lang w:bidi="th-TH"/>
              </w:rPr>
              <w:t>อนุสัญญา</w:t>
            </w:r>
            <w:r w:rsidRPr="007F085F">
              <w:rPr>
                <w:rFonts w:cs="TH SarabunPSK"/>
                <w:shd w:val="clear" w:color="auto" w:fill="FFFFFF"/>
                <w:cs/>
                <w:lang w:bidi="th-TH"/>
              </w:rPr>
              <w:t>ว่าด้วยการค้าระหว่างประเทศ ซึ่งชนิดสัตว์ป่าและพืชป่าที่ใกล้จะสูญพันธุ์</w:t>
            </w:r>
            <w:r w:rsidRPr="007F085F">
              <w:rPr>
                <w:rStyle w:val="apple-converted-space"/>
                <w:rFonts w:cs="TH SarabunPSK"/>
                <w:shd w:val="clear" w:color="auto" w:fill="FFFFFF"/>
              </w:rPr>
              <w:t> </w:t>
            </w:r>
            <w:r w:rsidRPr="007F085F">
              <w:rPr>
                <w:rFonts w:cs="TH SarabunPSK"/>
                <w:cs/>
                <w:lang w:bidi="th-TH"/>
              </w:rPr>
              <w:t>(</w:t>
            </w:r>
            <w:r w:rsidRPr="007F085F">
              <w:rPr>
                <w:rFonts w:cs="TH SarabunPSK"/>
                <w:lang w:val="en-US" w:bidi="th-TH"/>
              </w:rPr>
              <w:t>CITES)</w:t>
            </w:r>
            <w:r w:rsidRPr="007F085F">
              <w:rPr>
                <w:rFonts w:cs="TH SarabunPSK"/>
                <w:cs/>
                <w:lang w:val="en-US" w:bidi="th-TH"/>
              </w:rPr>
              <w:t xml:space="preserve"> ซึ่งมีคำอนุญาต และใบอนุญาตที่ถูกต้องเป็นการดำเนินการตามกฎหมายที่กำหนดนิยามใน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7F085F">
              <w:rPr>
                <w:rFonts w:cs="TH SarabunPSK"/>
                <w:color w:val="385623" w:themeColor="accent6" w:themeShade="80"/>
              </w:rPr>
              <w:t>EU T</w:t>
            </w:r>
            <w:r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6</w:t>
            </w:r>
          </w:p>
        </w:tc>
        <w:tc>
          <w:tcPr>
            <w:tcW w:w="6964" w:type="dxa"/>
          </w:tcPr>
          <w:p w:rsidR="00496F75" w:rsidRPr="007F085F" w:rsidRDefault="008E61CD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ผู้ปฏิบัติงานที่จำหน่ายผลิตภัณฑ์ที่ได้รับการรับรองไม่จำเป็นต้องทำระบบการสอบทานธุรกิจ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7</w:t>
            </w:r>
          </w:p>
        </w:tc>
        <w:tc>
          <w:tcPr>
            <w:tcW w:w="6964" w:type="dxa"/>
          </w:tcPr>
          <w:p w:rsidR="00496F75" w:rsidRPr="007F085F" w:rsidRDefault="008E61CD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สื่อสิ่งพิมพ์ และวัสดุที่นำกลับมาใช้ใหม่ (รีไซเคิล) เป็นข้อยกเว้นใน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7F085F">
              <w:rPr>
                <w:rFonts w:cs="TH SarabunPSK"/>
                <w:color w:val="385623" w:themeColor="accent6" w:themeShade="80"/>
              </w:rPr>
              <w:t>EU T</w:t>
            </w:r>
            <w:r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8</w:t>
            </w:r>
          </w:p>
        </w:tc>
        <w:tc>
          <w:tcPr>
            <w:tcW w:w="6964" w:type="dxa"/>
          </w:tcPr>
          <w:p w:rsidR="00496F75" w:rsidRPr="007F085F" w:rsidRDefault="008E61CD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องค์กร หรือหน่วยงานที่ทำหน้าที่ติดตามจะต้องได้รับการยอมรับโดยหน่วยงานที่มีอำนาจเต็มของประเทศสมาชิก</w:t>
            </w:r>
            <w:bookmarkStart w:id="0" w:name="_GoBack"/>
            <w:bookmarkEnd w:id="0"/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9</w:t>
            </w:r>
          </w:p>
        </w:tc>
        <w:tc>
          <w:tcPr>
            <w:tcW w:w="6964" w:type="dxa"/>
          </w:tcPr>
          <w:p w:rsidR="00496F75" w:rsidRPr="007F085F" w:rsidRDefault="008E61CD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บรรดาวัสดุหีบห่อเป็นข้อยกเว้นจาก</w:t>
            </w:r>
            <w:r w:rsidR="002D0E97"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="002D0E97" w:rsidRPr="007F085F">
              <w:rPr>
                <w:rFonts w:cs="TH SarabunPSK"/>
                <w:color w:val="385623" w:themeColor="accent6" w:themeShade="80"/>
              </w:rPr>
              <w:t>EU T</w:t>
            </w:r>
            <w:r w:rsidR="002D0E97"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="002D0E97"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10</w:t>
            </w:r>
          </w:p>
        </w:tc>
        <w:tc>
          <w:tcPr>
            <w:tcW w:w="6964" w:type="dxa"/>
          </w:tcPr>
          <w:p w:rsidR="00496F75" w:rsidRPr="007F085F" w:rsidRDefault="002D0E97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กฎหมายควบคุมการค้าไม้ของสหภาพยุโรป (</w:t>
            </w:r>
            <w:r w:rsidRPr="007F085F">
              <w:rPr>
                <w:rFonts w:cs="TH SarabunPSK"/>
                <w:color w:val="385623" w:themeColor="accent6" w:themeShade="80"/>
              </w:rPr>
              <w:t>EU T</w:t>
            </w:r>
            <w:r w:rsidRPr="007F085F">
              <w:rPr>
                <w:rFonts w:cs="TH SarabunPSK"/>
                <w:color w:val="385623" w:themeColor="accent6" w:themeShade="80"/>
                <w:lang w:val="en-US" w:bidi="th-TH"/>
              </w:rPr>
              <w:t>R</w:t>
            </w:r>
            <w:r w:rsidRPr="007F085F">
              <w:rPr>
                <w:rFonts w:cs="TH SarabunPSK"/>
                <w:color w:val="385623" w:themeColor="accent6" w:themeShade="80"/>
                <w:cs/>
                <w:lang w:bidi="th-TH"/>
              </w:rPr>
              <w:t>)</w:t>
            </w:r>
            <w:r w:rsidRPr="007F085F">
              <w:rPr>
                <w:rFonts w:cs="TH SarabunPSK"/>
                <w:cs/>
                <w:lang w:bidi="th-TH"/>
              </w:rPr>
              <w:t xml:space="preserve"> จะนำมาใช้กับไม้และผลิตภัณฑ์ไม้ที่ผลิตในสหภาพยุโรปเท่านั้น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lastRenderedPageBreak/>
              <w:t>11</w:t>
            </w:r>
          </w:p>
        </w:tc>
        <w:tc>
          <w:tcPr>
            <w:tcW w:w="6964" w:type="dxa"/>
          </w:tcPr>
          <w:p w:rsidR="00496F75" w:rsidRPr="007F085F" w:rsidRDefault="002D0E97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ผู้ปฏิบัติงานจะต้องใช้ระบบการสอบทานธุรกิจที่พัฒนาโดยองค์กร หรือหน่วยงานทำหน้าที่ติดตาม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12</w:t>
            </w:r>
          </w:p>
        </w:tc>
        <w:tc>
          <w:tcPr>
            <w:tcW w:w="6964" w:type="dxa"/>
          </w:tcPr>
          <w:p w:rsidR="00496F75" w:rsidRPr="007F085F" w:rsidRDefault="002D0E97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 xml:space="preserve">หน่วยงานที่มีอำนาจเต็มจะทำหน้าที่ตรวจสอบองค์กรหรือหน่วยงานที่ติดตามอย่างน้อยเป็นเวลา </w:t>
            </w:r>
            <w:r w:rsidRPr="007F085F">
              <w:rPr>
                <w:rFonts w:cs="TH SarabunPSK"/>
                <w:lang w:val="en-US" w:bidi="th-TH"/>
              </w:rPr>
              <w:t xml:space="preserve">1 </w:t>
            </w:r>
            <w:r w:rsidRPr="007F085F">
              <w:rPr>
                <w:rFonts w:cs="TH SarabunPSK"/>
                <w:cs/>
                <w:lang w:val="en-US" w:bidi="th-TH"/>
              </w:rPr>
              <w:t xml:space="preserve">ครั้งในช่วงทุกๆ </w:t>
            </w:r>
            <w:r w:rsidRPr="007F085F">
              <w:rPr>
                <w:rFonts w:cs="TH SarabunPSK"/>
                <w:lang w:val="en-US" w:bidi="th-TH"/>
              </w:rPr>
              <w:t xml:space="preserve">2 </w:t>
            </w:r>
            <w:r w:rsidRPr="007F085F">
              <w:rPr>
                <w:rFonts w:cs="TH SarabunPSK"/>
                <w:cs/>
                <w:lang w:val="en-US" w:bidi="th-TH"/>
              </w:rPr>
              <w:t>ปี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  <w:tr w:rsidR="00496F75" w:rsidRPr="007F085F" w:rsidTr="007F085F">
        <w:tc>
          <w:tcPr>
            <w:tcW w:w="37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13</w:t>
            </w:r>
          </w:p>
        </w:tc>
        <w:tc>
          <w:tcPr>
            <w:tcW w:w="6964" w:type="dxa"/>
          </w:tcPr>
          <w:p w:rsidR="00496F75" w:rsidRPr="007F085F" w:rsidRDefault="002D0E97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  <w:cs/>
                <w:lang w:bidi="th-TH"/>
              </w:rPr>
              <w:t>คณะกรรมาธิการยุโรปกำหนดบทลงโทษสำหรับบรรดาประเทศสมาชิกของสหภาพยุโรปทั้งหมด</w:t>
            </w:r>
          </w:p>
        </w:tc>
        <w:tc>
          <w:tcPr>
            <w:tcW w:w="850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  <w:r w:rsidRPr="007F085F">
              <w:rPr>
                <w:rFonts w:cs="TH SarabunPSK"/>
              </w:rPr>
              <w:t>T/F</w:t>
            </w:r>
          </w:p>
        </w:tc>
        <w:tc>
          <w:tcPr>
            <w:tcW w:w="1054" w:type="dxa"/>
          </w:tcPr>
          <w:p w:rsidR="00496F75" w:rsidRPr="007F085F" w:rsidRDefault="00496F75" w:rsidP="007F085F">
            <w:pPr>
              <w:rPr>
                <w:rFonts w:cs="TH SarabunPSK"/>
              </w:rPr>
            </w:pPr>
          </w:p>
        </w:tc>
      </w:tr>
    </w:tbl>
    <w:p w:rsidR="00DC5EFE" w:rsidRPr="007F085F" w:rsidRDefault="00DC5EFE" w:rsidP="00DC5EFE">
      <w:pPr>
        <w:rPr>
          <w:rFonts w:cs="TH SarabunPSK"/>
          <w:sz w:val="20"/>
          <w:szCs w:val="20"/>
        </w:rPr>
      </w:pPr>
    </w:p>
    <w:sectPr w:rsidR="00DC5EFE" w:rsidRPr="007F085F" w:rsidSect="00496F75">
      <w:headerReference w:type="default" r:id="rId10"/>
      <w:headerReference w:type="first" r:id="rId11"/>
      <w:pgSz w:w="11906" w:h="16838"/>
      <w:pgMar w:top="1985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B92" w:rsidRDefault="00A87B92" w:rsidP="00375F55">
      <w:pPr>
        <w:spacing w:after="0" w:line="240" w:lineRule="auto"/>
      </w:pPr>
      <w:r>
        <w:separator/>
      </w:r>
    </w:p>
  </w:endnote>
  <w:endnote w:type="continuationSeparator" w:id="0">
    <w:p w:rsidR="00A87B92" w:rsidRDefault="00A87B92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B92" w:rsidRDefault="00A87B92" w:rsidP="00375F55">
      <w:pPr>
        <w:spacing w:after="0" w:line="240" w:lineRule="auto"/>
      </w:pPr>
      <w:r>
        <w:separator/>
      </w:r>
    </w:p>
  </w:footnote>
  <w:footnote w:type="continuationSeparator" w:id="0">
    <w:p w:rsidR="00A87B92" w:rsidRDefault="00A87B92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F085F" w:rsidRDefault="007F085F">
    <w:pPr>
      <w:pStyle w:val="Kopfzeile"/>
    </w:pPr>
  </w:p>
  <w:p w:rsidR="007F085F" w:rsidRDefault="007F085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223C5"/>
    <w:rsid w:val="00133AE5"/>
    <w:rsid w:val="0027040A"/>
    <w:rsid w:val="002A5DFA"/>
    <w:rsid w:val="002D0E97"/>
    <w:rsid w:val="00375F55"/>
    <w:rsid w:val="00452ADB"/>
    <w:rsid w:val="00496F75"/>
    <w:rsid w:val="004C17C2"/>
    <w:rsid w:val="006E5DD7"/>
    <w:rsid w:val="007952C6"/>
    <w:rsid w:val="007D04CA"/>
    <w:rsid w:val="007F085F"/>
    <w:rsid w:val="0086672F"/>
    <w:rsid w:val="008D432B"/>
    <w:rsid w:val="008E61CD"/>
    <w:rsid w:val="00A87B92"/>
    <w:rsid w:val="00C00EC1"/>
    <w:rsid w:val="00C35073"/>
    <w:rsid w:val="00D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52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72F"/>
    <w:rPr>
      <w:rFonts w:ascii="Tahoma" w:hAnsi="Tahoma" w:cs="Tahoma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8E61CD"/>
    <w:rPr>
      <w:i/>
      <w:iCs/>
    </w:rPr>
  </w:style>
  <w:style w:type="character" w:customStyle="1" w:styleId="apple-converted-space">
    <w:name w:val="apple-converted-space"/>
    <w:basedOn w:val="Absatz-Standardschriftart"/>
    <w:rsid w:val="008E6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952C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66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6672F"/>
    <w:rPr>
      <w:rFonts w:ascii="Tahoma" w:hAnsi="Tahoma" w:cs="Tahoma"/>
      <w:sz w:val="16"/>
      <w:szCs w:val="16"/>
    </w:rPr>
  </w:style>
  <w:style w:type="character" w:styleId="Hervorhebung">
    <w:name w:val="Emphasis"/>
    <w:basedOn w:val="Absatz-Standardschriftart"/>
    <w:uiPriority w:val="20"/>
    <w:qFormat/>
    <w:rsid w:val="008E61CD"/>
    <w:rPr>
      <w:i/>
      <w:iCs/>
    </w:rPr>
  </w:style>
  <w:style w:type="character" w:customStyle="1" w:styleId="apple-converted-space">
    <w:name w:val="apple-converted-space"/>
    <w:basedOn w:val="Absatz-Standardschriftart"/>
    <w:rsid w:val="008E6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1640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2</cp:revision>
  <dcterms:created xsi:type="dcterms:W3CDTF">2015-03-05T23:26:00Z</dcterms:created>
  <dcterms:modified xsi:type="dcterms:W3CDTF">2015-03-05T23:26:00Z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